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396" w:lineRule="auto"/>
        <w:ind w:right="1081" w:firstLine="2168" w:firstLineChars="600"/>
        <w:rPr>
          <w:rFonts w:ascii="仿宋_GB2312" w:hAnsi="仿宋_GB2312" w:eastAsia="仿宋_GB2312" w:cs="仿宋_GB2312"/>
          <w:b/>
          <w:kern w:val="2"/>
          <w:sz w:val="36"/>
          <w:szCs w:val="36"/>
          <w:highlight w:val="none"/>
          <w:lang w:val="en-US" w:bidi="ar-SA"/>
        </w:rPr>
      </w:pPr>
      <w:r>
        <w:rPr>
          <w:rFonts w:ascii="仿宋_GB2312" w:hAnsi="仿宋_GB2312" w:eastAsia="仿宋_GB2312" w:cs="仿宋_GB2312"/>
          <w:b/>
          <w:kern w:val="2"/>
          <w:sz w:val="36"/>
          <w:szCs w:val="36"/>
          <w:highlight w:val="none"/>
          <w:lang w:val="en-US" w:bidi="ar-SA"/>
        </w:rPr>
        <w:t>西北大学</w:t>
      </w:r>
      <w:r>
        <w:rPr>
          <w:rFonts w:hint="eastAsia" w:ascii="仿宋_GB2312" w:hAnsi="仿宋_GB2312" w:eastAsia="仿宋_GB2312" w:cs="仿宋_GB2312"/>
          <w:b/>
          <w:kern w:val="2"/>
          <w:sz w:val="36"/>
          <w:szCs w:val="36"/>
          <w:highlight w:val="none"/>
          <w:lang w:val="en-US" w:bidi="ar-SA"/>
        </w:rPr>
        <w:t>科学史高等研究院</w:t>
      </w:r>
    </w:p>
    <w:p>
      <w:pPr>
        <w:spacing w:before="20" w:line="396" w:lineRule="auto"/>
        <w:ind w:right="1081" w:firstLine="361" w:firstLineChars="100"/>
        <w:jc w:val="center"/>
        <w:rPr>
          <w:rFonts w:ascii="仿宋_GB2312" w:hAnsi="仿宋_GB2312" w:eastAsia="仿宋_GB2312" w:cs="仿宋_GB2312"/>
          <w:b/>
          <w:kern w:val="2"/>
          <w:sz w:val="36"/>
          <w:szCs w:val="36"/>
          <w:highlight w:val="none"/>
          <w:lang w:val="en-US" w:bidi="ar-SA"/>
        </w:rPr>
      </w:pPr>
      <w:r>
        <w:rPr>
          <w:rFonts w:hint="eastAsia" w:ascii="仿宋_GB2312" w:hAnsi="仿宋_GB2312" w:eastAsia="仿宋_GB2312" w:cs="仿宋_GB2312"/>
          <w:b/>
          <w:kern w:val="2"/>
          <w:sz w:val="36"/>
          <w:szCs w:val="36"/>
          <w:highlight w:val="none"/>
          <w:lang w:val="en-US" w:bidi="ar-SA"/>
        </w:rPr>
        <w:t xml:space="preserve">   博士研究生</w:t>
      </w:r>
      <w:r>
        <w:rPr>
          <w:rFonts w:ascii="仿宋_GB2312" w:hAnsi="仿宋_GB2312" w:eastAsia="仿宋_GB2312" w:cs="仿宋_GB2312"/>
          <w:b/>
          <w:kern w:val="2"/>
          <w:sz w:val="36"/>
          <w:szCs w:val="36"/>
          <w:highlight w:val="none"/>
          <w:lang w:val="en-US" w:bidi="ar-SA"/>
        </w:rPr>
        <w:t>“申请</w:t>
      </w:r>
      <w:r>
        <w:rPr>
          <w:rFonts w:hint="eastAsia" w:ascii="仿宋_GB2312" w:hAnsi="仿宋_GB2312" w:eastAsia="仿宋_GB2312" w:cs="仿宋_GB2312"/>
          <w:b/>
          <w:kern w:val="2"/>
          <w:sz w:val="36"/>
          <w:szCs w:val="36"/>
          <w:highlight w:val="none"/>
          <w:lang w:val="en-US" w:bidi="ar-SA"/>
        </w:rPr>
        <w:t>-</w:t>
      </w:r>
      <w:r>
        <w:rPr>
          <w:rFonts w:ascii="仿宋_GB2312" w:hAnsi="仿宋_GB2312" w:eastAsia="仿宋_GB2312" w:cs="仿宋_GB2312"/>
          <w:b/>
          <w:kern w:val="2"/>
          <w:sz w:val="36"/>
          <w:szCs w:val="36"/>
          <w:highlight w:val="none"/>
          <w:lang w:val="en-US" w:bidi="ar-SA"/>
        </w:rPr>
        <w:t>考核”制招生工作办法</w:t>
      </w:r>
    </w:p>
    <w:p>
      <w:pPr>
        <w:spacing w:before="20" w:line="396" w:lineRule="auto"/>
        <w:ind w:right="1081" w:firstLine="361" w:firstLineChars="100"/>
        <w:jc w:val="center"/>
        <w:rPr>
          <w:rFonts w:ascii="仿宋_GB2312" w:hAnsi="仿宋_GB2312" w:eastAsia="仿宋_GB2312" w:cs="仿宋_GB2312"/>
          <w:b/>
          <w:kern w:val="2"/>
          <w:sz w:val="36"/>
          <w:szCs w:val="36"/>
          <w:highlight w:val="none"/>
          <w:lang w:val="en-US" w:bidi="ar-SA"/>
        </w:rPr>
      </w:pP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为进一步完善博士研究生多元录取制度，优化博士研究生生源结构，充分发挥导师的招生自主权，规范研究生招生管理，更好地选拔具有科研创新能力和培养潜质的优秀硕士研究生攻读博士学位，根据《西北大学博士研究生“申请</w:t>
      </w:r>
      <w:r>
        <w:rPr>
          <w:rFonts w:ascii="仿宋_GB2312" w:hAnsi="仿宋_GB2312" w:eastAsia="仿宋_GB2312" w:cs="仿宋_GB2312"/>
          <w:kern w:val="2"/>
          <w:sz w:val="32"/>
          <w:szCs w:val="32"/>
          <w:highlight w:val="none"/>
          <w:lang w:val="en-US" w:bidi="ar-SA"/>
        </w:rPr>
        <w:t>-考核”制招生工作管理办法</w:t>
      </w:r>
      <w:r>
        <w:rPr>
          <w:rFonts w:hint="eastAsia" w:ascii="仿宋_GB2312" w:hAnsi="仿宋_GB2312" w:eastAsia="仿宋_GB2312" w:cs="仿宋_GB2312"/>
          <w:kern w:val="2"/>
          <w:sz w:val="32"/>
          <w:szCs w:val="32"/>
          <w:highlight w:val="none"/>
          <w:lang w:val="en-US" w:bidi="ar-SA"/>
        </w:rPr>
        <w:t>》（西大研〔</w:t>
      </w:r>
      <w:r>
        <w:rPr>
          <w:rFonts w:ascii="仿宋_GB2312" w:hAnsi="仿宋_GB2312" w:eastAsia="仿宋_GB2312" w:cs="仿宋_GB2312"/>
          <w:kern w:val="2"/>
          <w:sz w:val="32"/>
          <w:szCs w:val="32"/>
          <w:highlight w:val="none"/>
          <w:lang w:val="en-US" w:bidi="ar-SA"/>
        </w:rPr>
        <w:t>2019〕40 号</w:t>
      </w:r>
      <w:r>
        <w:rPr>
          <w:rFonts w:hint="eastAsia" w:ascii="仿宋_GB2312" w:hAnsi="仿宋_GB2312" w:eastAsia="仿宋_GB2312" w:cs="仿宋_GB2312"/>
          <w:kern w:val="2"/>
          <w:sz w:val="32"/>
          <w:szCs w:val="32"/>
          <w:highlight w:val="none"/>
          <w:lang w:val="en-US" w:bidi="ar-SA"/>
        </w:rPr>
        <w:t>）的文件精神，结合科学史高等研究院实际，特制订本办法。</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ascii="仿宋_GB2312" w:hAnsi="仿宋_GB2312" w:eastAsia="仿宋_GB2312" w:cs="仿宋_GB2312"/>
          <w:b/>
          <w:kern w:val="2"/>
          <w:sz w:val="32"/>
          <w:szCs w:val="32"/>
          <w:highlight w:val="none"/>
          <w:lang w:val="en-US" w:bidi="ar-SA"/>
        </w:rPr>
        <w:t>一、组织机构及职责</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科学史高等研究院成立研究生招生领导小组，负责制定本单位博士研究生“申请</w:t>
      </w:r>
      <w:r>
        <w:rPr>
          <w:rFonts w:ascii="仿宋_GB2312" w:hAnsi="仿宋_GB2312" w:eastAsia="仿宋_GB2312" w:cs="仿宋_GB2312"/>
          <w:kern w:val="2"/>
          <w:sz w:val="32"/>
          <w:szCs w:val="32"/>
          <w:highlight w:val="none"/>
          <w:lang w:val="en-US" w:bidi="ar-SA"/>
        </w:rPr>
        <w:t>-考核”制招生工作办法，并组织实施“申</w:t>
      </w:r>
      <w:r>
        <w:rPr>
          <w:rFonts w:hint="eastAsia" w:ascii="仿宋_GB2312" w:hAnsi="仿宋_GB2312" w:eastAsia="仿宋_GB2312" w:cs="仿宋_GB2312"/>
          <w:kern w:val="2"/>
          <w:sz w:val="32"/>
          <w:szCs w:val="32"/>
          <w:highlight w:val="none"/>
          <w:lang w:val="en-US" w:bidi="ar-SA"/>
        </w:rPr>
        <w:t>请</w:t>
      </w:r>
      <w:r>
        <w:rPr>
          <w:rFonts w:ascii="仿宋_GB2312" w:hAnsi="仿宋_GB2312" w:eastAsia="仿宋_GB2312" w:cs="仿宋_GB2312"/>
          <w:kern w:val="2"/>
          <w:sz w:val="32"/>
          <w:szCs w:val="32"/>
          <w:highlight w:val="none"/>
          <w:lang w:val="en-US" w:bidi="ar-SA"/>
        </w:rPr>
        <w:t>-考核”制考生的选拔工作。</w:t>
      </w:r>
    </w:p>
    <w:p>
      <w:pPr>
        <w:numPr>
          <w:ilvl w:val="0"/>
          <w:numId w:val="1"/>
        </w:num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ascii="仿宋_GB2312" w:hAnsi="仿宋_GB2312" w:eastAsia="仿宋_GB2312" w:cs="仿宋_GB2312"/>
          <w:b/>
          <w:kern w:val="2"/>
          <w:sz w:val="32"/>
          <w:szCs w:val="32"/>
          <w:highlight w:val="none"/>
          <w:lang w:val="en-US" w:bidi="ar-SA"/>
        </w:rPr>
        <w:t>申请条件</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符合当年《西北大学博士研究生招生简章》中规定的各项报考条件，同时具备以下条件：</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（一）已获得学术型硕士学位或博士学位；应届硕士毕业生须在博士入学前取得学术型硕士学位。同时具备科学技术史及相关学科背景。</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（二）具备较强的语言能力，外语水平较高。英语水平原则上达到以下条件之一：CET-4</w:t>
      </w:r>
      <w:r>
        <w:rPr>
          <w:rFonts w:ascii="仿宋_GB2312" w:hAnsi="仿宋_GB2312" w:eastAsia="仿宋_GB2312" w:cs="仿宋_GB2312"/>
          <w:kern w:val="2"/>
          <w:sz w:val="32"/>
          <w:szCs w:val="32"/>
          <w:highlight w:val="none"/>
          <w:lang w:val="en-US" w:bidi="ar-SA"/>
        </w:rPr>
        <w:t>成绩≥</w:t>
      </w:r>
      <w:r>
        <w:rPr>
          <w:rFonts w:hint="eastAsia" w:ascii="仿宋_GB2312" w:hAnsi="仿宋_GB2312" w:eastAsia="仿宋_GB2312" w:cs="仿宋_GB2312"/>
          <w:kern w:val="2"/>
          <w:sz w:val="32"/>
          <w:szCs w:val="32"/>
          <w:highlight w:val="none"/>
          <w:lang w:val="en-US" w:bidi="ar-SA"/>
        </w:rPr>
        <w:t>500</w:t>
      </w:r>
      <w:r>
        <w:rPr>
          <w:rFonts w:ascii="仿宋_GB2312" w:hAnsi="仿宋_GB2312" w:eastAsia="仿宋_GB2312" w:cs="仿宋_GB2312"/>
          <w:kern w:val="2"/>
          <w:sz w:val="32"/>
          <w:szCs w:val="32"/>
          <w:highlight w:val="none"/>
          <w:lang w:val="en-US" w:bidi="ar-SA"/>
        </w:rPr>
        <w:t>分</w:t>
      </w:r>
      <w:r>
        <w:rPr>
          <w:rFonts w:hint="eastAsia" w:ascii="仿宋_GB2312" w:hAnsi="仿宋_GB2312" w:eastAsia="仿宋_GB2312" w:cs="仿宋_GB2312"/>
          <w:kern w:val="2"/>
          <w:sz w:val="32"/>
          <w:szCs w:val="32"/>
          <w:highlight w:val="none"/>
          <w:lang w:val="en-US" w:bidi="ar-SA"/>
        </w:rPr>
        <w:t>或</w:t>
      </w:r>
      <w:r>
        <w:rPr>
          <w:rFonts w:ascii="仿宋_GB2312" w:hAnsi="仿宋_GB2312" w:eastAsia="仿宋_GB2312" w:cs="仿宋_GB2312"/>
          <w:kern w:val="2"/>
          <w:sz w:val="32"/>
          <w:szCs w:val="32"/>
          <w:highlight w:val="none"/>
          <w:lang w:val="en-US" w:bidi="ar-SA"/>
        </w:rPr>
        <w:t>CET-6 成绩≥425分或IELTS成绩≥5.5分或TOEFL成绩≥75分，或近三年以第一作者身份在英文国际期刊上发表过专业学</w:t>
      </w:r>
      <w:r>
        <w:rPr>
          <w:rFonts w:hint="eastAsia" w:ascii="仿宋_GB2312" w:hAnsi="仿宋_GB2312" w:eastAsia="仿宋_GB2312" w:cs="仿宋_GB2312"/>
          <w:kern w:val="2"/>
          <w:sz w:val="32"/>
          <w:szCs w:val="32"/>
          <w:highlight w:val="none"/>
          <w:lang w:val="en-US" w:bidi="ar-SA"/>
        </w:rPr>
        <w:t>术论文，或具有相当水平的其他证明。</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（三）专业基础好、科研能力强，在某一领域或某些方面有特殊学术专长及突出学术成果，以第一作者身份，在科学技术史及相关学科领域学术刊物上至少发表高水平学术论文</w:t>
      </w:r>
      <w:r>
        <w:rPr>
          <w:rFonts w:ascii="仿宋_GB2312" w:hAnsi="仿宋_GB2312" w:eastAsia="仿宋_GB2312" w:cs="仿宋_GB2312"/>
          <w:kern w:val="2"/>
          <w:sz w:val="32"/>
          <w:szCs w:val="32"/>
          <w:highlight w:val="none"/>
          <w:lang w:val="en-US" w:bidi="ar-SA"/>
        </w:rPr>
        <w:t>1篇。</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ascii="仿宋_GB2312" w:hAnsi="仿宋_GB2312" w:eastAsia="仿宋_GB2312" w:cs="仿宋_GB2312"/>
          <w:b/>
          <w:kern w:val="2"/>
          <w:sz w:val="32"/>
          <w:szCs w:val="32"/>
          <w:highlight w:val="none"/>
          <w:lang w:val="en-US" w:bidi="ar-SA"/>
        </w:rPr>
        <w:t>三、</w:t>
      </w:r>
      <w:r>
        <w:rPr>
          <w:rFonts w:hint="eastAsia" w:ascii="仿宋_GB2312" w:hAnsi="仿宋_GB2312" w:eastAsia="仿宋_GB2312" w:cs="仿宋_GB2312"/>
          <w:b/>
          <w:kern w:val="2"/>
          <w:sz w:val="32"/>
          <w:szCs w:val="32"/>
          <w:highlight w:val="none"/>
          <w:lang w:val="en-US" w:bidi="ar-SA"/>
        </w:rPr>
        <w:t>“申请</w:t>
      </w:r>
      <w:r>
        <w:rPr>
          <w:rFonts w:ascii="仿宋_GB2312" w:hAnsi="仿宋_GB2312" w:eastAsia="仿宋_GB2312" w:cs="仿宋_GB2312"/>
          <w:b/>
          <w:kern w:val="2"/>
          <w:sz w:val="32"/>
          <w:szCs w:val="32"/>
          <w:highlight w:val="none"/>
          <w:lang w:val="en-US" w:bidi="ar-SA"/>
        </w:rPr>
        <w:t>-考核”制考生选拔工作程序</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（一）考生个人申请</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符合基本申请条件的考生应提前联系导师，征得拟报导师同意后，方可在当年度博士研究生招生简章规定的报名时间内完成网上报名，并按照要求提交相关材料。申请者除提交当年《西北大学博士研究生招生简章》中所列材料外，还须提交以下材料：</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1. 硕士期间课程成绩</w:t>
      </w:r>
      <w:bookmarkStart w:id="1" w:name="_GoBack"/>
      <w:bookmarkEnd w:id="1"/>
      <w:r>
        <w:rPr>
          <w:rFonts w:hint="eastAsia" w:ascii="仿宋_GB2312" w:hAnsi="仿宋_GB2312" w:eastAsia="仿宋_GB2312" w:cs="仿宋_GB2312"/>
          <w:kern w:val="2"/>
          <w:sz w:val="32"/>
          <w:szCs w:val="32"/>
          <w:highlight w:val="none"/>
          <w:lang w:val="en-US" w:bidi="ar-SA"/>
        </w:rPr>
        <w:t>单；</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2. 硕士学位论文（应届毕业生可提供硕士学位论文2000字摘要）；</w:t>
      </w:r>
    </w:p>
    <w:p>
      <w:pPr>
        <w:autoSpaceDE/>
        <w:autoSpaceDN/>
        <w:spacing w:line="360" w:lineRule="auto"/>
        <w:ind w:firstLine="640" w:firstLineChars="200"/>
        <w:jc w:val="both"/>
        <w:rPr>
          <w:rFonts w:hint="eastAsia"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3</w:t>
      </w:r>
      <w:r>
        <w:rPr>
          <w:rFonts w:ascii="仿宋_GB2312" w:hAnsi="仿宋_GB2312" w:eastAsia="仿宋_GB2312" w:cs="仿宋_GB2312"/>
          <w:kern w:val="2"/>
          <w:sz w:val="32"/>
          <w:szCs w:val="32"/>
          <w:highlight w:val="none"/>
          <w:lang w:val="en-US" w:bidi="ar-SA"/>
        </w:rPr>
        <w:t xml:space="preserve">. </w:t>
      </w:r>
      <w:r>
        <w:rPr>
          <w:rFonts w:hint="eastAsia" w:ascii="仿宋_GB2312" w:hAnsi="仿宋_GB2312" w:eastAsia="仿宋_GB2312" w:cs="仿宋_GB2312"/>
          <w:kern w:val="2"/>
          <w:sz w:val="32"/>
          <w:szCs w:val="32"/>
          <w:highlight w:val="none"/>
          <w:lang w:val="en-US" w:bidi="ar-SA"/>
        </w:rPr>
        <w:t>《西北大学博士研究生报名拟报导师意见审核表》。</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hint="eastAsia" w:ascii="仿宋_GB2312" w:hAnsi="仿宋_GB2312" w:eastAsia="仿宋_GB2312" w:cs="仿宋_GB2312"/>
          <w:b/>
          <w:kern w:val="2"/>
          <w:sz w:val="32"/>
          <w:szCs w:val="32"/>
          <w:highlight w:val="none"/>
          <w:lang w:val="en-US" w:bidi="ar-SA"/>
        </w:rPr>
        <w:t>（二）科学史高等研究院考核</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ascii="仿宋_GB2312" w:hAnsi="仿宋_GB2312" w:eastAsia="仿宋_GB2312" w:cs="仿宋_GB2312"/>
          <w:kern w:val="2"/>
          <w:sz w:val="32"/>
          <w:szCs w:val="32"/>
          <w:highlight w:val="none"/>
          <w:lang w:val="en-US" w:bidi="ar-SA"/>
        </w:rPr>
        <w:t>科学史高等研究院</w:t>
      </w:r>
      <w:r>
        <w:rPr>
          <w:rFonts w:hint="eastAsia" w:ascii="仿宋_GB2312" w:hAnsi="仿宋_GB2312" w:eastAsia="仿宋_GB2312" w:cs="仿宋_GB2312"/>
          <w:kern w:val="2"/>
          <w:sz w:val="32"/>
          <w:szCs w:val="32"/>
          <w:highlight w:val="none"/>
          <w:lang w:val="en-US" w:bidi="ar-SA"/>
        </w:rPr>
        <w:t>研究生招生领导小组</w:t>
      </w:r>
      <w:r>
        <w:rPr>
          <w:rFonts w:ascii="仿宋_GB2312" w:hAnsi="仿宋_GB2312" w:eastAsia="仿宋_GB2312" w:cs="仿宋_GB2312"/>
          <w:kern w:val="2"/>
          <w:sz w:val="32"/>
          <w:szCs w:val="32"/>
          <w:highlight w:val="none"/>
          <w:lang w:val="en-US" w:bidi="ar-SA"/>
        </w:rPr>
        <w:t>对申请者的材料进行资格审查，并进行考核</w:t>
      </w:r>
      <w:r>
        <w:rPr>
          <w:rFonts w:hint="eastAsia" w:ascii="仿宋_GB2312" w:hAnsi="仿宋_GB2312" w:eastAsia="仿宋_GB2312" w:cs="仿宋_GB2312"/>
          <w:kern w:val="2"/>
          <w:sz w:val="32"/>
          <w:szCs w:val="32"/>
          <w:highlight w:val="none"/>
          <w:lang w:val="en-US" w:bidi="ar-SA"/>
        </w:rPr>
        <w:t>。考核分初试和复试两个环节。</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hint="eastAsia" w:ascii="仿宋_GB2312" w:hAnsi="仿宋_GB2312" w:eastAsia="仿宋_GB2312" w:cs="仿宋_GB2312"/>
          <w:b/>
          <w:kern w:val="2"/>
          <w:sz w:val="32"/>
          <w:szCs w:val="32"/>
          <w:highlight w:val="none"/>
          <w:lang w:val="en-US" w:bidi="ar-SA"/>
        </w:rPr>
        <w:t>1. 初试</w:t>
      </w:r>
    </w:p>
    <w:p>
      <w:pPr>
        <w:autoSpaceDE/>
        <w:autoSpaceDN/>
        <w:spacing w:line="360" w:lineRule="auto"/>
        <w:ind w:firstLine="640" w:firstLineChars="20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bidi="ar-SA"/>
        </w:rPr>
        <w:t>若</w:t>
      </w:r>
      <w:r>
        <w:rPr>
          <w:rFonts w:hint="eastAsia" w:ascii="仿宋_GB2312" w:hAnsi="仿宋_GB2312" w:eastAsia="仿宋_GB2312" w:cs="仿宋_GB2312"/>
          <w:sz w:val="32"/>
          <w:szCs w:val="32"/>
          <w:highlight w:val="none"/>
          <w:lang w:val="en-US"/>
        </w:rPr>
        <w:t>申请者的材料完全符合申请条件，则申请者直接进入复试；若申请者的科研成果或外语要求不完全符合申请条件，则申请者需参加初试，初试合格者方可进入复试。</w:t>
      </w:r>
    </w:p>
    <w:p>
      <w:pPr>
        <w:autoSpaceDE/>
        <w:autoSpaceDN/>
        <w:spacing w:line="360" w:lineRule="auto"/>
        <w:ind w:firstLine="640" w:firstLineChars="20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初试采取笔试形式，考试科目包括：（1）英语；（2）数学史或科学史（二选一）。每个科目满分100分。</w:t>
      </w:r>
    </w:p>
    <w:p>
      <w:pPr>
        <w:autoSpaceDE/>
        <w:autoSpaceDN/>
        <w:spacing w:line="360" w:lineRule="auto"/>
        <w:ind w:firstLine="640" w:firstLineChars="20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数学史科目的参考书目如下：</w:t>
      </w:r>
    </w:p>
    <w:p>
      <w:pPr>
        <w:pStyle w:val="13"/>
        <w:numPr>
          <w:ilvl w:val="0"/>
          <w:numId w:val="2"/>
        </w:numPr>
        <w:autoSpaceDE/>
        <w:autoSpaceDN/>
        <w:spacing w:line="360" w:lineRule="auto"/>
        <w:ind w:left="1240" w:leftChars="200" w:hanging="800" w:hangingChars="25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Victor J.KATZ著，李文林等译.</w:t>
      </w:r>
      <w:r>
        <w:rPr>
          <w:rFonts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rPr>
        <w:t>数学史通论（第2版），高等教育出版社，2004。</w:t>
      </w:r>
    </w:p>
    <w:p>
      <w:pPr>
        <w:autoSpaceDE/>
        <w:autoSpaceDN/>
        <w:spacing w:line="360" w:lineRule="auto"/>
        <w:ind w:firstLine="640" w:firstLineChars="20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科学史科目的参考书目如下：</w:t>
      </w:r>
    </w:p>
    <w:p>
      <w:pPr>
        <w:pStyle w:val="13"/>
        <w:numPr>
          <w:ilvl w:val="0"/>
          <w:numId w:val="3"/>
        </w:numPr>
        <w:autoSpaceDE/>
        <w:autoSpaceDN/>
        <w:spacing w:line="360" w:lineRule="auto"/>
        <w:ind w:left="1240" w:leftChars="200" w:hanging="800" w:hangingChars="25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杜石然、范楚玉、陈美东等编著.</w:t>
      </w:r>
      <w:r>
        <w:rPr>
          <w:rFonts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rPr>
        <w:t>中国科学技术史稿（修订版），北京大学出版社，2</w:t>
      </w:r>
      <w:r>
        <w:rPr>
          <w:rFonts w:ascii="仿宋_GB2312" w:hAnsi="仿宋_GB2312" w:eastAsia="仿宋_GB2312" w:cs="仿宋_GB2312"/>
          <w:sz w:val="32"/>
          <w:szCs w:val="32"/>
          <w:highlight w:val="none"/>
          <w:lang w:val="en-US"/>
        </w:rPr>
        <w:t>012</w:t>
      </w:r>
      <w:r>
        <w:rPr>
          <w:rFonts w:hint="eastAsia" w:ascii="仿宋_GB2312" w:hAnsi="仿宋_GB2312" w:eastAsia="仿宋_GB2312" w:cs="仿宋_GB2312"/>
          <w:sz w:val="32"/>
          <w:szCs w:val="32"/>
          <w:highlight w:val="none"/>
          <w:lang w:val="en-US"/>
        </w:rPr>
        <w:t>。</w:t>
      </w:r>
    </w:p>
    <w:p>
      <w:pPr>
        <w:pStyle w:val="13"/>
        <w:numPr>
          <w:ilvl w:val="0"/>
          <w:numId w:val="3"/>
        </w:numPr>
        <w:autoSpaceDE/>
        <w:autoSpaceDN/>
        <w:spacing w:line="360" w:lineRule="auto"/>
        <w:ind w:left="1240" w:leftChars="200" w:hanging="800" w:hangingChars="25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（美）麦克莱伦第三，（美）多恩著，王鸣阳等译.</w:t>
      </w:r>
      <w:r>
        <w:rPr>
          <w:rFonts w:ascii="仿宋_GB2312" w:hAnsi="仿宋_GB2312" w:eastAsia="仿宋_GB2312" w:cs="仿宋_GB2312"/>
          <w:sz w:val="32"/>
          <w:szCs w:val="32"/>
          <w:highlight w:val="none"/>
          <w:lang w:val="en-US"/>
        </w:rPr>
        <w:t>世界科学技术通史</w:t>
      </w:r>
      <w:r>
        <w:rPr>
          <w:rFonts w:hint="eastAsia" w:ascii="仿宋_GB2312" w:hAnsi="仿宋_GB2312" w:eastAsia="仿宋_GB2312" w:cs="仿宋_GB2312"/>
          <w:sz w:val="32"/>
          <w:szCs w:val="32"/>
          <w:highlight w:val="none"/>
          <w:lang w:val="en-US"/>
        </w:rPr>
        <w:t>，</w:t>
      </w:r>
      <w:r>
        <w:rPr>
          <w:rFonts w:ascii="仿宋_GB2312" w:hAnsi="仿宋_GB2312" w:eastAsia="仿宋_GB2312" w:cs="仿宋_GB2312"/>
          <w:sz w:val="32"/>
          <w:szCs w:val="32"/>
          <w:highlight w:val="none"/>
          <w:lang w:val="en-US"/>
        </w:rPr>
        <w:t>上海科技教育出版社</w:t>
      </w:r>
      <w:r>
        <w:rPr>
          <w:rFonts w:hint="eastAsia" w:ascii="仿宋_GB2312" w:hAnsi="仿宋_GB2312" w:eastAsia="仿宋_GB2312" w:cs="仿宋_GB2312"/>
          <w:sz w:val="32"/>
          <w:szCs w:val="32"/>
          <w:highlight w:val="none"/>
          <w:lang w:val="en-US"/>
        </w:rPr>
        <w:t>，2</w:t>
      </w:r>
      <w:r>
        <w:rPr>
          <w:rFonts w:ascii="仿宋_GB2312" w:hAnsi="仿宋_GB2312" w:eastAsia="仿宋_GB2312" w:cs="仿宋_GB2312"/>
          <w:sz w:val="32"/>
          <w:szCs w:val="32"/>
          <w:highlight w:val="none"/>
          <w:lang w:val="en-US"/>
        </w:rPr>
        <w:t>007</w:t>
      </w:r>
      <w:r>
        <w:rPr>
          <w:rFonts w:hint="eastAsia" w:ascii="仿宋_GB2312" w:hAnsi="仿宋_GB2312" w:eastAsia="仿宋_GB2312" w:cs="仿宋_GB2312"/>
          <w:sz w:val="32"/>
          <w:szCs w:val="32"/>
          <w:highlight w:val="none"/>
          <w:lang w:val="en-US"/>
        </w:rPr>
        <w:t>。</w:t>
      </w:r>
    </w:p>
    <w:p>
      <w:pPr>
        <w:autoSpaceDE/>
        <w:autoSpaceDN/>
        <w:spacing w:line="360" w:lineRule="auto"/>
        <w:ind w:firstLine="643" w:firstLineChars="200"/>
        <w:jc w:val="both"/>
        <w:rPr>
          <w:rFonts w:ascii="仿宋_GB2312" w:hAnsi="仿宋_GB2312" w:eastAsia="仿宋_GB2312" w:cs="仿宋_GB2312"/>
          <w:b/>
          <w:sz w:val="32"/>
          <w:szCs w:val="32"/>
          <w:highlight w:val="none"/>
          <w:lang w:val="en-US"/>
        </w:rPr>
      </w:pPr>
      <w:r>
        <w:rPr>
          <w:rFonts w:hint="eastAsia" w:ascii="仿宋_GB2312" w:hAnsi="仿宋_GB2312" w:eastAsia="仿宋_GB2312" w:cs="仿宋_GB2312"/>
          <w:b/>
          <w:sz w:val="32"/>
          <w:szCs w:val="32"/>
          <w:highlight w:val="none"/>
          <w:lang w:val="en-US"/>
        </w:rPr>
        <w:t>2. 复试</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科学史高等研究院成立不少于</w:t>
      </w:r>
      <w:r>
        <w:rPr>
          <w:rFonts w:ascii="仿宋_GB2312" w:hAnsi="仿宋_GB2312" w:eastAsia="仿宋_GB2312" w:cs="仿宋_GB2312"/>
          <w:kern w:val="2"/>
          <w:sz w:val="32"/>
          <w:szCs w:val="32"/>
          <w:highlight w:val="none"/>
          <w:lang w:val="en-US" w:bidi="ar-SA"/>
        </w:rPr>
        <w:t xml:space="preserve"> 5 人的</w:t>
      </w:r>
      <w:r>
        <w:rPr>
          <w:rFonts w:hint="eastAsia" w:ascii="仿宋_GB2312" w:hAnsi="仿宋_GB2312" w:eastAsia="仿宋_GB2312" w:cs="仿宋_GB2312"/>
          <w:kern w:val="2"/>
          <w:sz w:val="32"/>
          <w:szCs w:val="32"/>
          <w:highlight w:val="none"/>
          <w:lang w:val="en-US" w:bidi="ar-SA"/>
        </w:rPr>
        <w:t>专家</w:t>
      </w:r>
      <w:r>
        <w:rPr>
          <w:rFonts w:ascii="仿宋_GB2312" w:hAnsi="仿宋_GB2312" w:eastAsia="仿宋_GB2312" w:cs="仿宋_GB2312"/>
          <w:kern w:val="2"/>
          <w:sz w:val="32"/>
          <w:szCs w:val="32"/>
          <w:highlight w:val="none"/>
          <w:lang w:val="en-US" w:bidi="ar-SA"/>
        </w:rPr>
        <w:t>考核小组</w:t>
      </w:r>
      <w:r>
        <w:rPr>
          <w:rFonts w:hint="eastAsia" w:ascii="仿宋_GB2312" w:hAnsi="仿宋_GB2312" w:eastAsia="仿宋_GB2312" w:cs="仿宋_GB2312"/>
          <w:kern w:val="2"/>
          <w:sz w:val="32"/>
          <w:szCs w:val="32"/>
          <w:highlight w:val="none"/>
          <w:lang w:val="en-US" w:bidi="ar-SA"/>
        </w:rPr>
        <w:t>，在审阅申请材料的基础上，采用笔试、面试等考核方式从思想品德、科研能力、培养潜质、人际沟通、心理素质等方面对申请者进行综合考查。思想品德考核不合格者，不予录取。</w:t>
      </w:r>
    </w:p>
    <w:p>
      <w:pPr>
        <w:autoSpaceDE/>
        <w:autoSpaceDN/>
        <w:spacing w:line="360" w:lineRule="auto"/>
        <w:ind w:firstLine="640" w:firstLineChars="200"/>
        <w:jc w:val="both"/>
        <w:rPr>
          <w:rFonts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bidi="ar-SA"/>
        </w:rPr>
        <w:t>考核结果由两部分组成，第一部分为思想品德考核，满分</w:t>
      </w:r>
      <w:r>
        <w:rPr>
          <w:rFonts w:ascii="仿宋_GB2312" w:hAnsi="仿宋_GB2312" w:eastAsia="仿宋_GB2312" w:cs="仿宋_GB2312"/>
          <w:kern w:val="2"/>
          <w:sz w:val="32"/>
          <w:szCs w:val="32"/>
          <w:highlight w:val="none"/>
          <w:lang w:val="en-US" w:bidi="ar-SA"/>
        </w:rPr>
        <w:t>100 分，考核结果不计入录取总成绩。第二部分为综合考核，</w:t>
      </w:r>
      <w:r>
        <w:rPr>
          <w:rFonts w:hint="eastAsia" w:ascii="仿宋_GB2312" w:hAnsi="仿宋_GB2312" w:eastAsia="仿宋_GB2312" w:cs="仿宋_GB2312"/>
          <w:kern w:val="2"/>
          <w:sz w:val="32"/>
          <w:szCs w:val="32"/>
          <w:highlight w:val="none"/>
          <w:lang w:val="en-US" w:bidi="ar-SA"/>
        </w:rPr>
        <w:t>采取笔试和面试两种形式，其中笔试100分，面试100分。综合考核笔试内容包括世界科技史、中国科技史和科学史方法论，</w:t>
      </w:r>
      <w:r>
        <w:rPr>
          <w:rFonts w:hint="eastAsia" w:ascii="仿宋_GB2312" w:hAnsi="仿宋_GB2312" w:eastAsia="仿宋_GB2312" w:cs="仿宋_GB2312"/>
          <w:sz w:val="32"/>
          <w:szCs w:val="32"/>
          <w:highlight w:val="none"/>
          <w:lang w:val="en-US"/>
        </w:rPr>
        <w:t>参考书目如下：</w:t>
      </w:r>
    </w:p>
    <w:p>
      <w:pPr>
        <w:pStyle w:val="13"/>
        <w:numPr>
          <w:ilvl w:val="0"/>
          <w:numId w:val="4"/>
        </w:numPr>
        <w:spacing w:line="360" w:lineRule="auto"/>
        <w:ind w:left="1240" w:leftChars="200" w:hanging="800" w:hangingChars="250"/>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（英）丹皮尔.</w:t>
      </w:r>
      <w:r>
        <w:rPr>
          <w:rFonts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rPr>
        <w:t>科学史，中国人民大学出版社，2010。</w:t>
      </w:r>
    </w:p>
    <w:p>
      <w:pPr>
        <w:pStyle w:val="13"/>
        <w:numPr>
          <w:ilvl w:val="0"/>
          <w:numId w:val="4"/>
        </w:numPr>
        <w:spacing w:line="360" w:lineRule="auto"/>
        <w:ind w:left="1240" w:leftChars="200" w:hanging="800" w:hangingChars="250"/>
        <w:rPr>
          <w:rFonts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lang w:val="en-US"/>
        </w:rPr>
        <w:t>杜石然</w:t>
      </w:r>
      <w:r>
        <w:rPr>
          <w:rFonts w:hint="eastAsia" w:ascii="仿宋_GB2312" w:hAnsi="仿宋_GB2312" w:eastAsia="仿宋_GB2312" w:cs="仿宋_GB2312"/>
          <w:sz w:val="32"/>
          <w:szCs w:val="32"/>
          <w:highlight w:val="none"/>
          <w:lang w:val="en-US"/>
        </w:rPr>
        <w:t>，</w:t>
      </w:r>
      <w:r>
        <w:rPr>
          <w:rFonts w:ascii="仿宋_GB2312" w:hAnsi="仿宋_GB2312" w:eastAsia="仿宋_GB2312" w:cs="仿宋_GB2312"/>
          <w:sz w:val="32"/>
          <w:szCs w:val="32"/>
          <w:highlight w:val="none"/>
          <w:lang w:val="en-US"/>
        </w:rPr>
        <w:t>范楚玉</w:t>
      </w:r>
      <w:r>
        <w:rPr>
          <w:rFonts w:hint="eastAsia" w:ascii="仿宋_GB2312" w:hAnsi="仿宋_GB2312" w:eastAsia="仿宋_GB2312" w:cs="仿宋_GB2312"/>
          <w:sz w:val="32"/>
          <w:szCs w:val="32"/>
          <w:highlight w:val="none"/>
          <w:lang w:val="en-US"/>
        </w:rPr>
        <w:t>，</w:t>
      </w:r>
      <w:r>
        <w:rPr>
          <w:rFonts w:ascii="仿宋_GB2312" w:hAnsi="仿宋_GB2312" w:eastAsia="仿宋_GB2312" w:cs="仿宋_GB2312"/>
          <w:sz w:val="32"/>
          <w:szCs w:val="32"/>
          <w:highlight w:val="none"/>
          <w:lang w:val="en-US"/>
        </w:rPr>
        <w:t>陈美东等</w:t>
      </w:r>
      <w:r>
        <w:rPr>
          <w:rFonts w:hint="eastAsia" w:ascii="仿宋_GB2312" w:hAnsi="仿宋_GB2312" w:eastAsia="仿宋_GB2312" w:cs="仿宋_GB2312"/>
          <w:sz w:val="32"/>
          <w:szCs w:val="32"/>
          <w:highlight w:val="none"/>
          <w:lang w:val="en-US"/>
        </w:rPr>
        <w:t>编著.</w:t>
      </w:r>
      <w:r>
        <w:rPr>
          <w:rFonts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rPr>
        <w:t>中国科学技术史稿（修订版），北京大学出版社，2012。</w:t>
      </w:r>
    </w:p>
    <w:p>
      <w:pPr>
        <w:pStyle w:val="13"/>
        <w:numPr>
          <w:ilvl w:val="0"/>
          <w:numId w:val="4"/>
        </w:numPr>
        <w:spacing w:line="360" w:lineRule="auto"/>
        <w:ind w:left="1240" w:leftChars="200" w:hanging="800" w:hangingChars="250"/>
        <w:rPr>
          <w:rFonts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曲安京.</w:t>
      </w:r>
      <w:r>
        <w:rPr>
          <w:rFonts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rPr>
        <w:t>中国科技史杂志，</w:t>
      </w:r>
      <w:r>
        <w:rPr>
          <w:rFonts w:ascii="仿宋_GB2312" w:hAnsi="仿宋_GB2312" w:eastAsia="仿宋_GB2312" w:cs="仿宋_GB2312"/>
          <w:sz w:val="32"/>
          <w:szCs w:val="32"/>
          <w:highlight w:val="none"/>
          <w:lang w:val="en-US"/>
        </w:rPr>
        <w:t>2005</w:t>
      </w:r>
      <w:r>
        <w:rPr>
          <w:rFonts w:hint="eastAsia" w:ascii="仿宋_GB2312" w:hAnsi="仿宋_GB2312" w:eastAsia="仿宋_GB2312" w:cs="仿宋_GB2312"/>
          <w:sz w:val="32"/>
          <w:szCs w:val="32"/>
          <w:highlight w:val="none"/>
          <w:lang w:val="en-US"/>
        </w:rPr>
        <w:t>（1）及2020（3）；科</w:t>
      </w:r>
      <w:r>
        <w:rPr>
          <w:rFonts w:ascii="仿宋_GB2312" w:hAnsi="仿宋_GB2312" w:eastAsia="仿宋_GB2312" w:cs="仿宋_GB2312"/>
          <w:sz w:val="32"/>
          <w:szCs w:val="32"/>
          <w:highlight w:val="none"/>
          <w:lang w:val="en-US"/>
        </w:rPr>
        <w:t>学技术哲学研究,</w:t>
      </w:r>
      <w:r>
        <w:rPr>
          <w:rFonts w:hint="eastAsia" w:ascii="仿宋_GB2312" w:hAnsi="仿宋_GB2312" w:eastAsia="仿宋_GB2312" w:cs="仿宋_GB2312"/>
          <w:sz w:val="32"/>
          <w:szCs w:val="32"/>
          <w:highlight w:val="none"/>
          <w:lang w:val="en-US"/>
        </w:rPr>
        <w:t xml:space="preserve"> </w:t>
      </w:r>
      <w:r>
        <w:rPr>
          <w:rFonts w:ascii="仿宋_GB2312" w:hAnsi="仿宋_GB2312" w:eastAsia="仿宋_GB2312" w:cs="仿宋_GB2312"/>
          <w:sz w:val="32"/>
          <w:szCs w:val="32"/>
          <w:highlight w:val="none"/>
          <w:lang w:val="en-US"/>
        </w:rPr>
        <w:t>2018</w:t>
      </w:r>
      <w:r>
        <w:rPr>
          <w:rFonts w:hint="eastAsia" w:ascii="仿宋_GB2312" w:hAnsi="仿宋_GB2312" w:eastAsia="仿宋_GB2312" w:cs="仿宋_GB2312"/>
          <w:sz w:val="32"/>
          <w:szCs w:val="32"/>
          <w:highlight w:val="none"/>
          <w:lang w:val="en-US"/>
        </w:rPr>
        <w:t>（6）。</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hint="eastAsia" w:ascii="仿宋_GB2312" w:hAnsi="仿宋_GB2312" w:eastAsia="仿宋_GB2312" w:cs="仿宋_GB2312"/>
          <w:b/>
          <w:kern w:val="2"/>
          <w:sz w:val="32"/>
          <w:szCs w:val="32"/>
          <w:highlight w:val="none"/>
          <w:lang w:val="en-US" w:bidi="ar-SA"/>
        </w:rPr>
        <w:t>3. 拟录取及公示</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按照综合考核成绩由高至低进行排序。在招生计划内根据排序确定拟录取名单，并将拟录取名单在本单位网站进行为期不少于</w:t>
      </w:r>
      <w:r>
        <w:rPr>
          <w:rFonts w:ascii="仿宋_GB2312" w:hAnsi="仿宋_GB2312" w:eastAsia="仿宋_GB2312" w:cs="仿宋_GB2312"/>
          <w:kern w:val="2"/>
          <w:sz w:val="32"/>
          <w:szCs w:val="32"/>
          <w:highlight w:val="none"/>
          <w:lang w:val="en-US" w:bidi="ar-SA"/>
        </w:rPr>
        <w:t xml:space="preserve"> 5 个工作日的公示。公示无异议后，将拟录取结果报研究生</w:t>
      </w:r>
      <w:r>
        <w:rPr>
          <w:rFonts w:hint="eastAsia" w:ascii="仿宋_GB2312" w:hAnsi="仿宋_GB2312" w:eastAsia="仿宋_GB2312" w:cs="仿宋_GB2312"/>
          <w:kern w:val="2"/>
          <w:sz w:val="32"/>
          <w:szCs w:val="32"/>
          <w:highlight w:val="none"/>
          <w:lang w:val="en-US" w:bidi="ar-SA"/>
        </w:rPr>
        <w:t>院。</w:t>
      </w:r>
      <w:r>
        <w:rPr>
          <w:rFonts w:hint="eastAsia" w:ascii="仿宋_GB2312" w:hAnsi="仿宋_GB2312" w:eastAsia="仿宋_GB2312" w:cs="仿宋_GB2312"/>
          <w:sz w:val="32"/>
          <w:szCs w:val="32"/>
          <w:highlight w:val="none"/>
          <w:lang w:val="en-US"/>
        </w:rPr>
        <w:t>为提高博士研究生招生质量，在职定向人员招生人数原则上不超过当年总招生人数的20%。</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hint="eastAsia" w:ascii="仿宋_GB2312" w:hAnsi="仿宋_GB2312" w:eastAsia="仿宋_GB2312" w:cs="仿宋_GB2312"/>
          <w:b/>
          <w:kern w:val="2"/>
          <w:sz w:val="32"/>
          <w:szCs w:val="32"/>
          <w:highlight w:val="none"/>
          <w:lang w:val="en-US" w:bidi="ar-SA"/>
        </w:rPr>
        <w:t>（三）学校审定及录取</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研究生院对科学史高等研究院提交的拟录取名单及考核结果进行审核，并提交学校研究生招生领导小组会议审定。审定通过后，随同当年度学校博士拟录取名单一并公示，公示期满无异议后</w:t>
      </w:r>
      <w:r>
        <w:rPr>
          <w:rFonts w:ascii="仿宋_GB2312" w:hAnsi="仿宋_GB2312" w:eastAsia="仿宋_GB2312" w:cs="仿宋_GB2312"/>
          <w:kern w:val="2"/>
          <w:sz w:val="32"/>
          <w:szCs w:val="32"/>
          <w:highlight w:val="none"/>
          <w:lang w:val="en-US" w:bidi="ar-SA"/>
        </w:rPr>
        <w:t>经体检、政审、调档等流程后</w:t>
      </w:r>
      <w:r>
        <w:rPr>
          <w:rFonts w:hint="eastAsia" w:ascii="仿宋_GB2312" w:hAnsi="仿宋_GB2312" w:eastAsia="仿宋_GB2312" w:cs="仿宋_GB2312"/>
          <w:kern w:val="2"/>
          <w:sz w:val="32"/>
          <w:szCs w:val="32"/>
          <w:highlight w:val="none"/>
          <w:lang w:val="en-US" w:bidi="ar-SA"/>
        </w:rPr>
        <w:t>，</w:t>
      </w:r>
      <w:r>
        <w:rPr>
          <w:rFonts w:ascii="仿宋_GB2312" w:hAnsi="仿宋_GB2312" w:eastAsia="仿宋_GB2312" w:cs="仿宋_GB2312"/>
          <w:kern w:val="2"/>
          <w:sz w:val="32"/>
          <w:szCs w:val="32"/>
          <w:highlight w:val="none"/>
          <w:lang w:val="en-US" w:bidi="ar-SA"/>
        </w:rPr>
        <w:t>向拟录取新生发录取通知书。</w:t>
      </w:r>
    </w:p>
    <w:p>
      <w:pPr>
        <w:autoSpaceDE/>
        <w:autoSpaceDN/>
        <w:spacing w:line="360" w:lineRule="auto"/>
        <w:ind w:firstLine="643" w:firstLineChars="200"/>
        <w:jc w:val="both"/>
        <w:rPr>
          <w:rFonts w:ascii="仿宋_GB2312" w:hAnsi="仿宋_GB2312" w:eastAsia="仿宋_GB2312" w:cs="仿宋_GB2312"/>
          <w:b/>
          <w:kern w:val="2"/>
          <w:sz w:val="32"/>
          <w:szCs w:val="32"/>
          <w:highlight w:val="none"/>
          <w:lang w:val="en-US" w:bidi="ar-SA"/>
        </w:rPr>
      </w:pPr>
      <w:r>
        <w:rPr>
          <w:rFonts w:ascii="仿宋_GB2312" w:hAnsi="仿宋_GB2312" w:eastAsia="仿宋_GB2312" w:cs="仿宋_GB2312"/>
          <w:b/>
          <w:kern w:val="2"/>
          <w:sz w:val="32"/>
          <w:szCs w:val="32"/>
          <w:highlight w:val="none"/>
          <w:lang w:val="en-US" w:bidi="ar-SA"/>
        </w:rPr>
        <w:t>四、违规违纪处理办法</w:t>
      </w:r>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hint="eastAsia" w:ascii="仿宋_GB2312" w:hAnsi="仿宋_GB2312" w:eastAsia="仿宋_GB2312" w:cs="仿宋_GB2312"/>
          <w:kern w:val="2"/>
          <w:sz w:val="32"/>
          <w:szCs w:val="32"/>
          <w:highlight w:val="none"/>
          <w:lang w:val="en-US" w:bidi="ar-SA"/>
        </w:rPr>
        <w:t>“申请-考核”制考生所提交的材料出现弄虚作假或出现学术不端，一经查实，取消其申请资格且以后不再受理其报考博士资格；</w:t>
      </w:r>
      <w:bookmarkStart w:id="0" w:name="_Hlk10408225"/>
      <w:r>
        <w:rPr>
          <w:rFonts w:hint="eastAsia" w:ascii="仿宋_GB2312" w:hAnsi="仿宋_GB2312" w:eastAsia="仿宋_GB2312" w:cs="仿宋_GB2312"/>
          <w:kern w:val="2"/>
          <w:sz w:val="32"/>
          <w:szCs w:val="32"/>
          <w:highlight w:val="none"/>
          <w:lang w:val="en-US" w:bidi="ar-SA"/>
        </w:rPr>
        <w:t>已录取但未入学者，予以取消入学资格处理；已录取且已注册学籍者，予以注销学籍处理。</w:t>
      </w:r>
      <w:bookmarkEnd w:id="0"/>
    </w:p>
    <w:p>
      <w:pPr>
        <w:autoSpaceDE/>
        <w:autoSpaceDN/>
        <w:spacing w:line="360" w:lineRule="auto"/>
        <w:ind w:firstLine="640" w:firstLineChars="200"/>
        <w:jc w:val="both"/>
        <w:rPr>
          <w:rFonts w:ascii="仿宋_GB2312" w:hAnsi="仿宋_GB2312" w:eastAsia="仿宋_GB2312" w:cs="仿宋_GB2312"/>
          <w:kern w:val="2"/>
          <w:sz w:val="32"/>
          <w:szCs w:val="32"/>
          <w:highlight w:val="none"/>
          <w:lang w:val="en-US" w:bidi="ar-SA"/>
        </w:rPr>
      </w:pPr>
      <w:r>
        <w:rPr>
          <w:rFonts w:ascii="仿宋_GB2312" w:hAnsi="仿宋_GB2312" w:eastAsia="仿宋_GB2312" w:cs="仿宋_GB2312"/>
          <w:kern w:val="2"/>
          <w:sz w:val="32"/>
          <w:szCs w:val="32"/>
          <w:highlight w:val="none"/>
          <w:lang w:val="en-US" w:bidi="ar-SA"/>
        </w:rPr>
        <w:t>本办法由</w:t>
      </w:r>
      <w:r>
        <w:rPr>
          <w:rFonts w:hint="eastAsia" w:ascii="仿宋_GB2312" w:hAnsi="仿宋_GB2312" w:eastAsia="仿宋_GB2312" w:cs="仿宋_GB2312"/>
          <w:kern w:val="2"/>
          <w:sz w:val="32"/>
          <w:szCs w:val="32"/>
          <w:highlight w:val="none"/>
          <w:lang w:val="en-US" w:bidi="ar-SA"/>
        </w:rPr>
        <w:t>科学史高等研究院研究生招生工作领导小组</w:t>
      </w:r>
      <w:r>
        <w:rPr>
          <w:rFonts w:ascii="仿宋_GB2312" w:hAnsi="仿宋_GB2312" w:eastAsia="仿宋_GB2312" w:cs="仿宋_GB2312"/>
          <w:kern w:val="2"/>
          <w:sz w:val="32"/>
          <w:szCs w:val="32"/>
          <w:highlight w:val="none"/>
          <w:lang w:val="en-US" w:bidi="ar-SA"/>
        </w:rPr>
        <w:t>负责解释。</w:t>
      </w:r>
    </w:p>
    <w:p>
      <w:pPr>
        <w:autoSpaceDE/>
        <w:autoSpaceDN/>
        <w:spacing w:line="360" w:lineRule="auto"/>
        <w:jc w:val="both"/>
        <w:rPr>
          <w:rFonts w:ascii="仿宋_GB2312" w:hAnsi="仿宋_GB2312" w:eastAsia="仿宋_GB2312" w:cs="仿宋_GB2312"/>
          <w:kern w:val="2"/>
          <w:sz w:val="32"/>
          <w:szCs w:val="32"/>
          <w:highlight w:val="none"/>
          <w:lang w:val="en-US" w:bidi="ar-SA"/>
        </w:rPr>
      </w:pPr>
    </w:p>
    <w:sectPr>
      <w:footerReference r:id="rId3" w:type="default"/>
      <w:pgSz w:w="11910" w:h="16840"/>
      <w:pgMar w:top="1420" w:right="15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38292"/>
    </w:sdtPr>
    <w:sdtContent>
      <w:p>
        <w:pPr>
          <w:pStyle w:val="5"/>
          <w:jc w:val="center"/>
        </w:pPr>
        <w:r>
          <w:fldChar w:fldCharType="begin"/>
        </w:r>
        <w:r>
          <w:instrText xml:space="preserve">PAGE   \* MERGEFORMAT</w:instrText>
        </w:r>
        <w:r>
          <w:fldChar w:fldCharType="separate"/>
        </w:r>
        <w: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634FE"/>
    <w:multiLevelType w:val="singleLevel"/>
    <w:tmpl w:val="89E634FE"/>
    <w:lvl w:ilvl="0" w:tentative="0">
      <w:start w:val="2"/>
      <w:numFmt w:val="chineseCounting"/>
      <w:suff w:val="nothing"/>
      <w:lvlText w:val="%1、"/>
      <w:lvlJc w:val="left"/>
      <w:rPr>
        <w:rFonts w:hint="eastAsia"/>
      </w:rPr>
    </w:lvl>
  </w:abstractNum>
  <w:abstractNum w:abstractNumId="1">
    <w:nsid w:val="0BDA4A9F"/>
    <w:multiLevelType w:val="multilevel"/>
    <w:tmpl w:val="0BDA4A9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E70202B"/>
    <w:multiLevelType w:val="multilevel"/>
    <w:tmpl w:val="0E70202B"/>
    <w:lvl w:ilvl="0" w:tentative="0">
      <w:start w:val="1"/>
      <w:numFmt w:val="decimal"/>
      <w:lvlText w:val="（%1）"/>
      <w:lvlJc w:val="left"/>
      <w:pPr>
        <w:ind w:left="2263" w:hanging="420"/>
      </w:pPr>
      <w:rPr>
        <w:rFonts w:hint="default"/>
      </w:rPr>
    </w:lvl>
    <w:lvl w:ilvl="1" w:tentative="0">
      <w:start w:val="1"/>
      <w:numFmt w:val="bullet"/>
      <w:lvlText w:val=""/>
      <w:lvlJc w:val="left"/>
      <w:pPr>
        <w:ind w:left="2683" w:hanging="420"/>
      </w:pPr>
      <w:rPr>
        <w:rFonts w:hint="default" w:ascii="Wingdings" w:hAnsi="Wingdings"/>
      </w:rPr>
    </w:lvl>
    <w:lvl w:ilvl="2" w:tentative="0">
      <w:start w:val="1"/>
      <w:numFmt w:val="bullet"/>
      <w:lvlText w:val=""/>
      <w:lvlJc w:val="left"/>
      <w:pPr>
        <w:ind w:left="3103" w:hanging="420"/>
      </w:pPr>
      <w:rPr>
        <w:rFonts w:hint="default" w:ascii="Wingdings" w:hAnsi="Wingdings"/>
      </w:rPr>
    </w:lvl>
    <w:lvl w:ilvl="3" w:tentative="0">
      <w:start w:val="1"/>
      <w:numFmt w:val="bullet"/>
      <w:lvlText w:val=""/>
      <w:lvlJc w:val="left"/>
      <w:pPr>
        <w:ind w:left="3523" w:hanging="420"/>
      </w:pPr>
      <w:rPr>
        <w:rFonts w:hint="default" w:ascii="Wingdings" w:hAnsi="Wingdings"/>
      </w:rPr>
    </w:lvl>
    <w:lvl w:ilvl="4" w:tentative="0">
      <w:start w:val="1"/>
      <w:numFmt w:val="bullet"/>
      <w:lvlText w:val=""/>
      <w:lvlJc w:val="left"/>
      <w:pPr>
        <w:ind w:left="3943" w:hanging="420"/>
      </w:pPr>
      <w:rPr>
        <w:rFonts w:hint="default" w:ascii="Wingdings" w:hAnsi="Wingdings"/>
      </w:rPr>
    </w:lvl>
    <w:lvl w:ilvl="5" w:tentative="0">
      <w:start w:val="1"/>
      <w:numFmt w:val="bullet"/>
      <w:lvlText w:val=""/>
      <w:lvlJc w:val="left"/>
      <w:pPr>
        <w:ind w:left="4363" w:hanging="420"/>
      </w:pPr>
      <w:rPr>
        <w:rFonts w:hint="default" w:ascii="Wingdings" w:hAnsi="Wingdings"/>
      </w:rPr>
    </w:lvl>
    <w:lvl w:ilvl="6" w:tentative="0">
      <w:start w:val="1"/>
      <w:numFmt w:val="bullet"/>
      <w:lvlText w:val=""/>
      <w:lvlJc w:val="left"/>
      <w:pPr>
        <w:ind w:left="4783" w:hanging="420"/>
      </w:pPr>
      <w:rPr>
        <w:rFonts w:hint="default" w:ascii="Wingdings" w:hAnsi="Wingdings"/>
      </w:rPr>
    </w:lvl>
    <w:lvl w:ilvl="7" w:tentative="0">
      <w:start w:val="1"/>
      <w:numFmt w:val="bullet"/>
      <w:lvlText w:val=""/>
      <w:lvlJc w:val="left"/>
      <w:pPr>
        <w:ind w:left="5203" w:hanging="420"/>
      </w:pPr>
      <w:rPr>
        <w:rFonts w:hint="default" w:ascii="Wingdings" w:hAnsi="Wingdings"/>
      </w:rPr>
    </w:lvl>
    <w:lvl w:ilvl="8" w:tentative="0">
      <w:start w:val="1"/>
      <w:numFmt w:val="bullet"/>
      <w:lvlText w:val=""/>
      <w:lvlJc w:val="left"/>
      <w:pPr>
        <w:ind w:left="5623" w:hanging="420"/>
      </w:pPr>
      <w:rPr>
        <w:rFonts w:hint="default" w:ascii="Wingdings" w:hAnsi="Wingdings"/>
      </w:rPr>
    </w:lvl>
  </w:abstractNum>
  <w:abstractNum w:abstractNumId="3">
    <w:nsid w:val="181C19D7"/>
    <w:multiLevelType w:val="multilevel"/>
    <w:tmpl w:val="181C19D7"/>
    <w:lvl w:ilvl="0" w:tentative="0">
      <w:start w:val="1"/>
      <w:numFmt w:val="decimal"/>
      <w:lvlText w:val="（%1）"/>
      <w:lvlJc w:val="left"/>
      <w:pPr>
        <w:ind w:left="4198" w:hanging="1080"/>
      </w:pPr>
      <w:rPr>
        <w:rFonts w:hint="default"/>
      </w:rPr>
    </w:lvl>
    <w:lvl w:ilvl="1" w:tentative="0">
      <w:start w:val="1"/>
      <w:numFmt w:val="lowerLetter"/>
      <w:lvlText w:val="%2)"/>
      <w:lvlJc w:val="left"/>
      <w:pPr>
        <w:ind w:left="3958" w:hanging="420"/>
      </w:pPr>
    </w:lvl>
    <w:lvl w:ilvl="2" w:tentative="0">
      <w:start w:val="1"/>
      <w:numFmt w:val="lowerRoman"/>
      <w:lvlText w:val="%3."/>
      <w:lvlJc w:val="right"/>
      <w:pPr>
        <w:ind w:left="4378" w:hanging="420"/>
      </w:pPr>
    </w:lvl>
    <w:lvl w:ilvl="3" w:tentative="0">
      <w:start w:val="1"/>
      <w:numFmt w:val="decimal"/>
      <w:lvlText w:val="%4."/>
      <w:lvlJc w:val="left"/>
      <w:pPr>
        <w:ind w:left="4798" w:hanging="420"/>
      </w:pPr>
    </w:lvl>
    <w:lvl w:ilvl="4" w:tentative="0">
      <w:start w:val="1"/>
      <w:numFmt w:val="lowerLetter"/>
      <w:lvlText w:val="%5)"/>
      <w:lvlJc w:val="left"/>
      <w:pPr>
        <w:ind w:left="5218" w:hanging="420"/>
      </w:pPr>
    </w:lvl>
    <w:lvl w:ilvl="5" w:tentative="0">
      <w:start w:val="1"/>
      <w:numFmt w:val="lowerRoman"/>
      <w:lvlText w:val="%6."/>
      <w:lvlJc w:val="right"/>
      <w:pPr>
        <w:ind w:left="5638" w:hanging="420"/>
      </w:pPr>
    </w:lvl>
    <w:lvl w:ilvl="6" w:tentative="0">
      <w:start w:val="1"/>
      <w:numFmt w:val="decimal"/>
      <w:lvlText w:val="%7."/>
      <w:lvlJc w:val="left"/>
      <w:pPr>
        <w:ind w:left="6058" w:hanging="420"/>
      </w:pPr>
    </w:lvl>
    <w:lvl w:ilvl="7" w:tentative="0">
      <w:start w:val="1"/>
      <w:numFmt w:val="lowerLetter"/>
      <w:lvlText w:val="%8)"/>
      <w:lvlJc w:val="left"/>
      <w:pPr>
        <w:ind w:left="6478" w:hanging="420"/>
      </w:pPr>
    </w:lvl>
    <w:lvl w:ilvl="8" w:tentative="0">
      <w:start w:val="1"/>
      <w:numFmt w:val="lowerRoman"/>
      <w:lvlText w:val="%9."/>
      <w:lvlJc w:val="right"/>
      <w:pPr>
        <w:ind w:left="689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D"/>
    <w:rsid w:val="00007757"/>
    <w:rsid w:val="00031C5F"/>
    <w:rsid w:val="0009660E"/>
    <w:rsid w:val="000B3A96"/>
    <w:rsid w:val="000B5280"/>
    <w:rsid w:val="000B5E1A"/>
    <w:rsid w:val="000C2586"/>
    <w:rsid w:val="000C401E"/>
    <w:rsid w:val="000C65D4"/>
    <w:rsid w:val="001159CC"/>
    <w:rsid w:val="00124913"/>
    <w:rsid w:val="00141471"/>
    <w:rsid w:val="00147B91"/>
    <w:rsid w:val="001533D7"/>
    <w:rsid w:val="00161618"/>
    <w:rsid w:val="0016792D"/>
    <w:rsid w:val="00180EA6"/>
    <w:rsid w:val="00192720"/>
    <w:rsid w:val="001C645E"/>
    <w:rsid w:val="001F0AE8"/>
    <w:rsid w:val="0024067C"/>
    <w:rsid w:val="00265DCE"/>
    <w:rsid w:val="00275E40"/>
    <w:rsid w:val="002763D8"/>
    <w:rsid w:val="002B6891"/>
    <w:rsid w:val="002D31E5"/>
    <w:rsid w:val="002E0BB2"/>
    <w:rsid w:val="002E7A5F"/>
    <w:rsid w:val="003064E2"/>
    <w:rsid w:val="003074FD"/>
    <w:rsid w:val="00317E9C"/>
    <w:rsid w:val="00325E8F"/>
    <w:rsid w:val="00337CA1"/>
    <w:rsid w:val="0036381F"/>
    <w:rsid w:val="00374DA9"/>
    <w:rsid w:val="003775C9"/>
    <w:rsid w:val="0038110C"/>
    <w:rsid w:val="00382967"/>
    <w:rsid w:val="003903A2"/>
    <w:rsid w:val="004064F9"/>
    <w:rsid w:val="0041709D"/>
    <w:rsid w:val="004246AF"/>
    <w:rsid w:val="0047351D"/>
    <w:rsid w:val="004956E8"/>
    <w:rsid w:val="004D67FB"/>
    <w:rsid w:val="004E131F"/>
    <w:rsid w:val="005047BE"/>
    <w:rsid w:val="00506EE6"/>
    <w:rsid w:val="005472B3"/>
    <w:rsid w:val="00556A4F"/>
    <w:rsid w:val="00573E3F"/>
    <w:rsid w:val="005A72D2"/>
    <w:rsid w:val="005E075F"/>
    <w:rsid w:val="005E730E"/>
    <w:rsid w:val="00601341"/>
    <w:rsid w:val="00610162"/>
    <w:rsid w:val="006111DD"/>
    <w:rsid w:val="006159DF"/>
    <w:rsid w:val="00642C33"/>
    <w:rsid w:val="00647B74"/>
    <w:rsid w:val="00655AAE"/>
    <w:rsid w:val="006602D0"/>
    <w:rsid w:val="00670681"/>
    <w:rsid w:val="00695ACB"/>
    <w:rsid w:val="006A2686"/>
    <w:rsid w:val="006B4CD1"/>
    <w:rsid w:val="006E14B1"/>
    <w:rsid w:val="00724D2E"/>
    <w:rsid w:val="007749F9"/>
    <w:rsid w:val="007A277D"/>
    <w:rsid w:val="007A5729"/>
    <w:rsid w:val="007C1ADC"/>
    <w:rsid w:val="0088129A"/>
    <w:rsid w:val="00885461"/>
    <w:rsid w:val="008B68CB"/>
    <w:rsid w:val="008C7376"/>
    <w:rsid w:val="008E2B3F"/>
    <w:rsid w:val="00963F97"/>
    <w:rsid w:val="00965597"/>
    <w:rsid w:val="009B1DFD"/>
    <w:rsid w:val="009D6BCD"/>
    <w:rsid w:val="009F26E0"/>
    <w:rsid w:val="00A055FA"/>
    <w:rsid w:val="00A37D90"/>
    <w:rsid w:val="00A657C9"/>
    <w:rsid w:val="00A768ED"/>
    <w:rsid w:val="00A815DD"/>
    <w:rsid w:val="00AB58C7"/>
    <w:rsid w:val="00AD1E19"/>
    <w:rsid w:val="00B460EE"/>
    <w:rsid w:val="00B54F94"/>
    <w:rsid w:val="00B63A3C"/>
    <w:rsid w:val="00B96B26"/>
    <w:rsid w:val="00C32A7A"/>
    <w:rsid w:val="00C3498C"/>
    <w:rsid w:val="00C35A7A"/>
    <w:rsid w:val="00CD6D09"/>
    <w:rsid w:val="00CF09F4"/>
    <w:rsid w:val="00CF1274"/>
    <w:rsid w:val="00D31BA9"/>
    <w:rsid w:val="00D40E53"/>
    <w:rsid w:val="00D647EA"/>
    <w:rsid w:val="00D701BD"/>
    <w:rsid w:val="00D961E3"/>
    <w:rsid w:val="00D96921"/>
    <w:rsid w:val="00DC629F"/>
    <w:rsid w:val="00E1666B"/>
    <w:rsid w:val="00E65DC8"/>
    <w:rsid w:val="00ED213F"/>
    <w:rsid w:val="00F05E54"/>
    <w:rsid w:val="00F10FED"/>
    <w:rsid w:val="00F420D6"/>
    <w:rsid w:val="00F755F0"/>
    <w:rsid w:val="00FA08E1"/>
    <w:rsid w:val="00FE1B0C"/>
    <w:rsid w:val="00FE3B90"/>
    <w:rsid w:val="00FE77BF"/>
    <w:rsid w:val="084F5EFE"/>
    <w:rsid w:val="0F55282F"/>
    <w:rsid w:val="13D64D04"/>
    <w:rsid w:val="16063E1E"/>
    <w:rsid w:val="161562E2"/>
    <w:rsid w:val="1E9A3BEA"/>
    <w:rsid w:val="26E73C67"/>
    <w:rsid w:val="27933851"/>
    <w:rsid w:val="39575E8E"/>
    <w:rsid w:val="4A88155F"/>
    <w:rsid w:val="504A0A7B"/>
    <w:rsid w:val="673A488E"/>
    <w:rsid w:val="69EB3BB0"/>
    <w:rsid w:val="73E6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11"/>
    <w:qFormat/>
    <w:uiPriority w:val="1"/>
    <w:pPr>
      <w:ind w:left="131"/>
      <w:outlineLvl w:val="0"/>
    </w:pPr>
    <w:rPr>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1"/>
    <w:rPr>
      <w:sz w:val="28"/>
      <w:szCs w:val="28"/>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1 字符"/>
    <w:basedOn w:val="8"/>
    <w:link w:val="2"/>
    <w:qFormat/>
    <w:uiPriority w:val="1"/>
    <w:rPr>
      <w:rFonts w:ascii="宋体" w:hAnsi="宋体" w:eastAsia="宋体" w:cs="宋体"/>
      <w:b/>
      <w:bCs/>
      <w:kern w:val="0"/>
      <w:sz w:val="28"/>
      <w:szCs w:val="28"/>
      <w:lang w:val="zh-CN" w:bidi="zh-CN"/>
    </w:rPr>
  </w:style>
  <w:style w:type="character" w:customStyle="1" w:styleId="12">
    <w:name w:val="正文文本 字符"/>
    <w:basedOn w:val="8"/>
    <w:link w:val="3"/>
    <w:qFormat/>
    <w:uiPriority w:val="1"/>
    <w:rPr>
      <w:rFonts w:ascii="宋体" w:hAnsi="宋体" w:eastAsia="宋体" w:cs="宋体"/>
      <w:kern w:val="0"/>
      <w:sz w:val="28"/>
      <w:szCs w:val="28"/>
      <w:lang w:val="zh-CN" w:bidi="zh-CN"/>
    </w:rPr>
  </w:style>
  <w:style w:type="paragraph" w:styleId="13">
    <w:name w:val="List Paragraph"/>
    <w:basedOn w:val="1"/>
    <w:qFormat/>
    <w:uiPriority w:val="1"/>
    <w:pPr>
      <w:ind w:left="131"/>
    </w:pPr>
  </w:style>
  <w:style w:type="character" w:customStyle="1" w:styleId="14">
    <w:name w:val="批注框文本 字符"/>
    <w:basedOn w:val="8"/>
    <w:link w:val="4"/>
    <w:semiHidden/>
    <w:qFormat/>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285</Words>
  <Characters>1631</Characters>
  <Lines>13</Lines>
  <Paragraphs>3</Paragraphs>
  <TotalTime>0</TotalTime>
  <ScaleCrop>false</ScaleCrop>
  <LinksUpToDate>false</LinksUpToDate>
  <CharactersWithSpaces>1913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2020-07-22T03:04:00Z</dcterms:created>
  <dc:creator>tangquan</dc:creator>
  <cp:lastModifiedBy>DELL</cp:lastModifiedBy>
  <cp:lastPrinted>2020-07-22T02:36:00Z</cp:lastPrinted>
  <dcterms:modified xsi:type="dcterms:W3CDTF">2021-01-18T06:14:49Z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